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15CE">
      <w:pPr>
        <w:widowControl/>
        <w:adjustRightInd w:val="0"/>
        <w:snapToGrid w:val="0"/>
        <w:spacing w:line="580" w:lineRule="atLeast"/>
        <w:jc w:val="left"/>
        <w:outlineLvl w:val="0"/>
        <w:rPr>
          <w:rFonts w:ascii="Times New Roman" w:hAnsi="Times New Roman" w:eastAsia="黑体" w:cs="Times New Roman"/>
          <w:sz w:val="32"/>
          <w:szCs w:val="32"/>
          <w:highlight w:val="yellow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12</w:t>
      </w:r>
    </w:p>
    <w:p w14:paraId="458F68C1">
      <w:pPr>
        <w:widowControl/>
        <w:adjustRightInd w:val="0"/>
        <w:snapToGrid w:val="0"/>
        <w:spacing w:line="580" w:lineRule="atLeast"/>
        <w:jc w:val="left"/>
        <w:outlineLvl w:val="0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 w14:paraId="4005F21F"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种子直投项目申报指南及遴选细则</w:t>
      </w:r>
    </w:p>
    <w:p w14:paraId="656D5F19">
      <w:pPr>
        <w:pStyle w:val="2"/>
        <w:keepNext/>
        <w:overflowPunct w:val="0"/>
        <w:spacing w:beforeAutospacing="0" w:afterAutospacing="0" w:line="580" w:lineRule="exact"/>
        <w:ind w:firstLine="640" w:firstLineChars="200"/>
        <w:jc w:val="both"/>
        <w:rPr>
          <w:rFonts w:hint="default" w:ascii="Times New Roman" w:hAnsi="Times New Roman" w:eastAsia="黑体"/>
          <w:b w:val="0"/>
          <w:sz w:val="32"/>
          <w:szCs w:val="32"/>
        </w:rPr>
      </w:pPr>
    </w:p>
    <w:p w14:paraId="55DCE295">
      <w:pPr>
        <w:overflowPunct w:val="0"/>
        <w:spacing w:line="360" w:lineRule="auto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种子直投介绍</w:t>
      </w:r>
    </w:p>
    <w:p w14:paraId="4E4062D0">
      <w:pPr>
        <w:ind w:firstLine="640" w:firstLineChars="200"/>
      </w:pPr>
      <w:r>
        <w:rPr>
          <w:rFonts w:ascii="Times New Roman" w:hAnsi="Times New Roman" w:eastAsia="仿宋_GB2312" w:cs="Times New Roman"/>
          <w:sz w:val="32"/>
          <w:szCs w:val="40"/>
        </w:rPr>
        <w:t>种子直投采用直接投资方式投向科技团队和种子期科技企业，不成为原始股东。</w:t>
      </w:r>
    </w:p>
    <w:p w14:paraId="5B36F355">
      <w:pPr>
        <w:numPr>
          <w:ilvl w:val="0"/>
          <w:numId w:val="1"/>
        </w:numPr>
        <w:spacing w:line="360" w:lineRule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投资金额。</w:t>
      </w:r>
      <w:r>
        <w:rPr>
          <w:rFonts w:ascii="Times New Roman" w:hAnsi="Times New Roman" w:eastAsia="仿宋_GB2312" w:cs="Times New Roman"/>
          <w:sz w:val="32"/>
          <w:szCs w:val="40"/>
        </w:rPr>
        <w:t>种子直投采用直接投资方式投向科技团队和种子期科技企业，不成为原始股东。对单个企业</w:t>
      </w:r>
      <w:r>
        <w:rPr>
          <w:rFonts w:ascii="Times New Roman" w:hAnsi="Times New Roman" w:eastAsia="仿宋_GB2312"/>
          <w:sz w:val="32"/>
          <w:szCs w:val="32"/>
        </w:rPr>
        <w:t>累计货币投资金额不超过1000万元</w:t>
      </w:r>
      <w:r>
        <w:rPr>
          <w:rFonts w:ascii="Times New Roman" w:hAnsi="Times New Roman" w:eastAsia="仿宋_GB2312" w:cs="Times New Roman"/>
          <w:sz w:val="32"/>
          <w:szCs w:val="40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投资后的股权占比</w:t>
      </w:r>
      <w:r>
        <w:rPr>
          <w:rFonts w:ascii="Times New Roman" w:hAnsi="Times New Roman" w:eastAsia="仿宋_GB2312"/>
          <w:sz w:val="32"/>
          <w:szCs w:val="32"/>
        </w:rPr>
        <w:t>一般不超过20%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且不能成为</w:t>
      </w:r>
      <w:r>
        <w:rPr>
          <w:rFonts w:hint="eastAsia" w:ascii="Times New Roman" w:hAnsi="Times New Roman" w:eastAsia="仿宋_GB2312"/>
          <w:sz w:val="32"/>
          <w:szCs w:val="32"/>
        </w:rPr>
        <w:t>被投资企业</w:t>
      </w:r>
      <w:r>
        <w:rPr>
          <w:rFonts w:ascii="Times New Roman" w:hAnsi="Times New Roman" w:eastAsia="仿宋_GB2312"/>
          <w:sz w:val="32"/>
          <w:szCs w:val="32"/>
        </w:rPr>
        <w:t>的第一大股东或实际控制人</w:t>
      </w:r>
      <w:r>
        <w:rPr>
          <w:rFonts w:ascii="Times New Roman" w:hAnsi="Times New Roman" w:eastAsia="仿宋_GB2312" w:cs="Times New Roman"/>
          <w:sz w:val="32"/>
          <w:szCs w:val="40"/>
        </w:rPr>
        <w:t>。</w:t>
      </w:r>
    </w:p>
    <w:p w14:paraId="2AFF2079">
      <w:pPr>
        <w:numPr>
          <w:ilvl w:val="0"/>
          <w:numId w:val="1"/>
        </w:numPr>
        <w:spacing w:line="360" w:lineRule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资金使用。</w:t>
      </w:r>
      <w:r>
        <w:rPr>
          <w:rFonts w:ascii="Times New Roman" w:hAnsi="Times New Roman" w:eastAsia="仿宋_GB2312" w:cs="Times New Roman"/>
          <w:sz w:val="32"/>
          <w:szCs w:val="40"/>
        </w:rPr>
        <w:t>种子直投的投资款应单独记账，一般用于产品研发、设备购置、厂房建设等生产经营支出。</w:t>
      </w:r>
    </w:p>
    <w:p w14:paraId="7337B77E">
      <w:pPr>
        <w:numPr>
          <w:ilvl w:val="0"/>
          <w:numId w:val="1"/>
        </w:numPr>
        <w:spacing w:line="360" w:lineRule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退出方式。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种子直投股权遵循市场化原则退出，通过转让（含回购）方式退出的，股权退出价格按照以下方式确定：</w:t>
      </w:r>
    </w:p>
    <w:p w14:paraId="7F9D3CD2">
      <w:pPr>
        <w:numPr>
          <w:ilvl w:val="0"/>
          <w:numId w:val="2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被投资企业有新一轮融资的，如果融资估值高于投资本金与退出时一年期贷款市场报价利率（LPR）计算的收益（按实际投资天数折算）之和，按照市场化原则参照融资估值确定退出价格；否则按照投资本金与退出时一年期贷款市场报价利率（LPR）计算的收益（按实际投资天数折算）之和确定退出价格。</w:t>
      </w:r>
    </w:p>
    <w:p w14:paraId="67BC990F">
      <w:pPr>
        <w:numPr>
          <w:ilvl w:val="0"/>
          <w:numId w:val="2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被投资企业未获得融资的，按照第三方评估价确定退出价格。</w:t>
      </w:r>
    </w:p>
    <w:p w14:paraId="00DFDF53">
      <w:pPr>
        <w:numPr>
          <w:ilvl w:val="0"/>
          <w:numId w:val="2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FF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有多个受让方同时要求受让时，一般采取邀标竞价形式优选受让方。</w:t>
      </w:r>
    </w:p>
    <w:p w14:paraId="12F4315C">
      <w:pPr>
        <w:numPr>
          <w:ilvl w:val="0"/>
          <w:numId w:val="2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FF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无法按照协议执行的，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投资人</w:t>
      </w:r>
      <w:r>
        <w:rPr>
          <w:rFonts w:ascii="Times New Roman" w:hAnsi="Times New Roman" w:eastAsia="仿宋_GB2312" w:cs="Times New Roman"/>
          <w:sz w:val="32"/>
          <w:szCs w:val="40"/>
        </w:rPr>
        <w:t>可采取股权拍卖、法律途径等进行股权处置。</w:t>
      </w:r>
    </w:p>
    <w:p w14:paraId="5F60A4F5">
      <w:pPr>
        <w:pStyle w:val="2"/>
        <w:keepNext/>
        <w:overflowPunct w:val="0"/>
        <w:spacing w:beforeAutospacing="0" w:afterAutospacing="0" w:line="360" w:lineRule="auto"/>
        <w:ind w:firstLine="640" w:firstLineChars="200"/>
        <w:jc w:val="both"/>
        <w:rPr>
          <w:rFonts w:hint="default" w:ascii="Times New Roman" w:hAnsi="Times New Roman" w:eastAsia="黑体"/>
          <w:b w:val="0"/>
          <w:sz w:val="32"/>
          <w:szCs w:val="32"/>
        </w:rPr>
      </w:pPr>
      <w:r>
        <w:rPr>
          <w:rFonts w:hint="default" w:ascii="Times New Roman" w:hAnsi="Times New Roman" w:eastAsia="黑体"/>
          <w:b w:val="0"/>
          <w:sz w:val="32"/>
          <w:szCs w:val="32"/>
        </w:rPr>
        <w:t>三、</w:t>
      </w:r>
      <w:r>
        <w:rPr>
          <w:rFonts w:ascii="Times New Roman" w:hAnsi="Times New Roman" w:eastAsia="黑体"/>
          <w:b w:val="0"/>
          <w:sz w:val="32"/>
          <w:szCs w:val="32"/>
        </w:rPr>
        <w:t>种子直投申请条件</w:t>
      </w:r>
    </w:p>
    <w:p w14:paraId="4E50E116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种子直投围绕宁波市“361”现代化产业体系和“510”科技创新体系，聚焦新一代信息技术、新能源、新材料、高端装备、生物医药、人工智能、低空经济、绿色石化、海洋经济等战略性新兴产业及未来产业。申请种子直投的科技企业或科技团队应具备以下基本条件：</w:t>
      </w:r>
    </w:p>
    <w:p w14:paraId="39E4BE12">
      <w:pPr>
        <w:overflowPunct w:val="0"/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科技企业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</w:p>
    <w:p w14:paraId="3A536FD1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属于重点支持的高新技术产业、战略性新兴产业、科技服务业以及应用高新技术提升传统产业领域，主要从事技术产品研究、开发、生产和服务。</w:t>
      </w:r>
    </w:p>
    <w:p w14:paraId="2DF576E6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2.有</w:t>
      </w:r>
      <w:r>
        <w:rPr>
          <w:rFonts w:ascii="Times New Roman" w:hAnsi="Times New Roman" w:eastAsia="仿宋_GB2312"/>
          <w:sz w:val="32"/>
          <w:szCs w:val="32"/>
        </w:rPr>
        <w:t>科学明确的经营计划或商业计划书，拥有一定的技术门槛或市场竞争力。</w:t>
      </w:r>
    </w:p>
    <w:p w14:paraId="3CDF2474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原则上在我市注册成立，具有独立法人资格，企业申请时的注册时间未满2年（迁址到我市的企业，以迁址之日起计算）。</w:t>
      </w:r>
    </w:p>
    <w:p w14:paraId="57865A3E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>企业从业人数不超过200人，其中研发人员占比不低于30％，资产总额或年销售收入不超过3000万元；企业研发费用总额占年度（注册不足一年按同期计算）销售收入或成本费用的比例不低于5％。</w:t>
      </w:r>
    </w:p>
    <w:p w14:paraId="5840F023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在我市设立子公司的重点领域优质企业（如独角兽企业、隐形冠军企业、专精特新“小巨人”企业、细分行业龙头企业等），可突破上述注册地、注册年限以及企业规模限制，但市外累计投资金额不超过种子直投资金规模的30％。</w:t>
      </w:r>
    </w:p>
    <w:p w14:paraId="1CB3BBE4">
      <w:pPr>
        <w:numPr>
          <w:ilvl w:val="255"/>
          <w:numId w:val="0"/>
        </w:numPr>
        <w:spacing w:line="360" w:lineRule="auto"/>
        <w:ind w:firstLine="0"/>
        <w:rPr>
          <w:rFonts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科技团队</w:t>
      </w: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：</w:t>
      </w:r>
    </w:p>
    <w:p w14:paraId="6E00CF47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属于重点支持的高新技术产业、战略性新兴产业、科技服务业以及应用高新技术提升传统产业领域，主要从事技术产品研究、开发、生产和服务。</w:t>
      </w:r>
    </w:p>
    <w:p w14:paraId="301CD92B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2.有</w:t>
      </w:r>
      <w:r>
        <w:rPr>
          <w:rFonts w:ascii="Times New Roman" w:hAnsi="Times New Roman" w:eastAsia="仿宋_GB2312"/>
          <w:sz w:val="32"/>
          <w:szCs w:val="32"/>
        </w:rPr>
        <w:t>科学明确的经营计划或商业计划书，拥有一定的技术门槛或市场竞争力。</w:t>
      </w:r>
    </w:p>
    <w:p w14:paraId="5DC4228E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需在签订投资意向书后6个月内在我市设立企业，实缴出资不低于50万元，团队核心成员占股30％以上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86E9CEB">
      <w:pPr>
        <w:overflowPunct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4.满足</w:t>
      </w:r>
      <w:r>
        <w:rPr>
          <w:rFonts w:ascii="Times New Roman" w:hAnsi="Times New Roman" w:eastAsia="仿宋_GB2312"/>
          <w:sz w:val="32"/>
          <w:szCs w:val="32"/>
        </w:rPr>
        <w:t>以下条件之一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市</w:t>
      </w:r>
      <w:r>
        <w:rPr>
          <w:rFonts w:hint="eastAsia" w:ascii="Times New Roman" w:hAnsi="Times New Roman" w:eastAsia="仿宋_GB2312"/>
          <w:sz w:val="32"/>
          <w:szCs w:val="32"/>
        </w:rPr>
        <w:t>级及以上</w:t>
      </w:r>
      <w:r>
        <w:rPr>
          <w:rFonts w:ascii="Times New Roman" w:hAnsi="Times New Roman" w:eastAsia="仿宋_GB2312"/>
          <w:sz w:val="32"/>
          <w:szCs w:val="32"/>
        </w:rPr>
        <w:t>创新创业大赛获奖项目或优胜项目团队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入选市级相关人才计划或区（县、市）人才创业团队等人才和团队项目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具有独特技术或概念的科技人才。</w:t>
      </w:r>
    </w:p>
    <w:p w14:paraId="592901AB">
      <w:pPr>
        <w:pStyle w:val="2"/>
        <w:keepNext/>
        <w:overflowPunct w:val="0"/>
        <w:spacing w:beforeAutospacing="0" w:afterAutospacing="0" w:line="360" w:lineRule="auto"/>
        <w:ind w:firstLine="640" w:firstLineChars="200"/>
        <w:jc w:val="both"/>
        <w:rPr>
          <w:rFonts w:hint="default" w:ascii="Times New Roman" w:hAnsi="Times New Roman" w:eastAsia="仿宋_GB2312"/>
          <w:sz w:val="32"/>
          <w:szCs w:val="40"/>
        </w:rPr>
      </w:pPr>
      <w:r>
        <w:rPr>
          <w:rFonts w:hint="default" w:ascii="Times New Roman" w:hAnsi="Times New Roman" w:eastAsia="黑体"/>
          <w:b w:val="0"/>
          <w:sz w:val="32"/>
          <w:szCs w:val="32"/>
        </w:rPr>
        <w:t>四、种子直投</w:t>
      </w:r>
      <w:r>
        <w:rPr>
          <w:rFonts w:ascii="Times New Roman" w:hAnsi="Times New Roman" w:eastAsia="黑体"/>
          <w:b w:val="0"/>
          <w:sz w:val="32"/>
          <w:szCs w:val="32"/>
        </w:rPr>
        <w:t>工作</w:t>
      </w:r>
      <w:r>
        <w:rPr>
          <w:rFonts w:hint="default" w:ascii="Times New Roman" w:hAnsi="Times New Roman" w:eastAsia="黑体"/>
          <w:b w:val="0"/>
          <w:sz w:val="32"/>
          <w:szCs w:val="32"/>
        </w:rPr>
        <w:t>流程</w:t>
      </w:r>
    </w:p>
    <w:p w14:paraId="43046EA0">
      <w:pPr>
        <w:widowControl/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（一）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项目申报</w:t>
      </w: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发布征集通知，组织开展项目申报。</w:t>
      </w:r>
    </w:p>
    <w:p w14:paraId="1CE66B49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形式审查。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对申报材料的完整性、有效性进行审核，对符合本申报通知要求的项目进入评审程序。</w:t>
      </w:r>
    </w:p>
    <w:p w14:paraId="5686BC76">
      <w:pPr>
        <w:spacing w:line="360" w:lineRule="auto"/>
        <w:ind w:firstLine="643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（三）项目立项。</w:t>
      </w:r>
      <w:r>
        <w:rPr>
          <w:rFonts w:hint="eastAsia" w:ascii="Times New Roman" w:hAnsi="Times New Roman" w:eastAsia="仿宋_GB2312"/>
          <w:sz w:val="32"/>
          <w:szCs w:val="32"/>
        </w:rPr>
        <w:t>投资业务前台职能部门</w:t>
      </w:r>
      <w:r>
        <w:rPr>
          <w:rFonts w:ascii="Times New Roman" w:hAnsi="Times New Roman" w:eastAsia="仿宋_GB2312"/>
          <w:sz w:val="32"/>
          <w:szCs w:val="32"/>
        </w:rPr>
        <w:t>对通过形式审查的项目进行初步筛选、评估，进行立项，并初步磋商投资方案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04D34E0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86DBDD0">
      <w:pPr>
        <w:widowControl/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四</w:t>
      </w: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）专家评审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。</w:t>
      </w:r>
      <w:r>
        <w:rPr>
          <w:rFonts w:ascii="Times New Roman" w:hAnsi="Times New Roman" w:eastAsia="仿宋_GB2312" w:cs="Times New Roman"/>
          <w:sz w:val="32"/>
          <w:szCs w:val="40"/>
        </w:rPr>
        <w:t>根据具体项目特点和所处行业，组织专家对通过形式审查的项目进行评审。</w:t>
      </w:r>
    </w:p>
    <w:p w14:paraId="0DA2E9E2">
      <w:pPr>
        <w:widowControl/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五</w:t>
      </w: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）尽职调查。</w:t>
      </w:r>
      <w:r>
        <w:rPr>
          <w:rFonts w:ascii="Times New Roman" w:hAnsi="Times New Roman" w:eastAsia="仿宋_GB2312" w:cs="Times New Roman"/>
          <w:sz w:val="32"/>
          <w:szCs w:val="40"/>
        </w:rPr>
        <w:t>依据专家评审意见组织开展项目尽职调查，形成尽职调查报告。</w:t>
      </w:r>
    </w:p>
    <w:p w14:paraId="434E2A7E">
      <w:pPr>
        <w:widowControl/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_GB2312" w:cs="Times New Roman"/>
          <w:color w:val="4874CB" w:themeColor="accent1"/>
          <w:sz w:val="32"/>
          <w:szCs w:val="40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六</w:t>
      </w: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估值洽谈</w:t>
      </w: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。</w:t>
      </w:r>
      <w:r>
        <w:rPr>
          <w:rFonts w:ascii="Times New Roman" w:hAnsi="Times New Roman" w:eastAsia="仿宋_GB2312" w:cs="Times New Roman"/>
          <w:sz w:val="32"/>
          <w:szCs w:val="40"/>
        </w:rPr>
        <w:t>根据尽职调查报告、专家评审意见，与拟投项目就投资金额、估值等事项进行洽谈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BCF8B36">
      <w:pPr>
        <w:adjustRightInd w:val="0"/>
        <w:snapToGrid w:val="0"/>
        <w:spacing w:line="360" w:lineRule="auto"/>
        <w:ind w:firstLine="643" w:firstLineChars="200"/>
      </w:pP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七</w:t>
      </w: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）投资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决策</w:t>
      </w: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。</w:t>
      </w:r>
      <w:r>
        <w:rPr>
          <w:rFonts w:ascii="Times New Roman" w:hAnsi="Times New Roman" w:eastAsia="仿宋_GB2312" w:cs="Times New Roman"/>
          <w:sz w:val="32"/>
          <w:szCs w:val="40"/>
        </w:rPr>
        <w:t>投资决策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委员会会议研究</w:t>
      </w:r>
      <w:r>
        <w:rPr>
          <w:rFonts w:ascii="Times New Roman" w:hAnsi="Times New Roman" w:eastAsia="仿宋_GB2312" w:cs="Times New Roman"/>
          <w:sz w:val="32"/>
          <w:szCs w:val="40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形成</w:t>
      </w:r>
      <w:r>
        <w:rPr>
          <w:rFonts w:ascii="Times New Roman" w:hAnsi="Times New Roman" w:eastAsia="仿宋_GB2312" w:cs="Times New Roman"/>
          <w:sz w:val="32"/>
          <w:szCs w:val="40"/>
        </w:rPr>
        <w:t>投资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建议。</w:t>
      </w:r>
    </w:p>
    <w:p w14:paraId="299D37B6"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八</w:t>
      </w: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）协议签署和资金拨付</w:t>
      </w: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。</w:t>
      </w:r>
      <w:r>
        <w:rPr>
          <w:rFonts w:ascii="仿宋_GB2312" w:hAnsi="仿宋_GB2312" w:eastAsia="仿宋_GB2312" w:cs="仿宋_GB2312"/>
          <w:snapToGrid w:val="0"/>
          <w:kern w:val="58"/>
          <w:sz w:val="32"/>
          <w:szCs w:val="32"/>
        </w:rPr>
        <w:t>与被投资项目签署</w:t>
      </w:r>
      <w:r>
        <w:rPr>
          <w:rFonts w:hint="eastAsia" w:ascii="仿宋_GB2312" w:hAnsi="仿宋_GB2312" w:eastAsia="仿宋_GB2312" w:cs="仿宋_GB2312"/>
          <w:snapToGrid w:val="0"/>
          <w:kern w:val="58"/>
          <w:sz w:val="32"/>
          <w:szCs w:val="32"/>
        </w:rPr>
        <w:t>协议，</w:t>
      </w:r>
      <w:r>
        <w:rPr>
          <w:rFonts w:ascii="仿宋_GB2312" w:hAnsi="仿宋_GB2312" w:eastAsia="仿宋_GB2312" w:cs="仿宋_GB2312"/>
          <w:snapToGrid w:val="0"/>
          <w:kern w:val="58"/>
          <w:sz w:val="32"/>
          <w:szCs w:val="32"/>
        </w:rPr>
        <w:t>并按协议约定办理投资款项拨付手续。</w:t>
      </w:r>
    </w:p>
    <w:p w14:paraId="5D0302DE">
      <w:pPr>
        <w:pStyle w:val="2"/>
        <w:keepNext/>
        <w:overflowPunct w:val="0"/>
        <w:spacing w:beforeAutospacing="0" w:afterAutospacing="0" w:line="360" w:lineRule="auto"/>
        <w:ind w:firstLine="640" w:firstLineChars="200"/>
        <w:jc w:val="both"/>
        <w:rPr>
          <w:rFonts w:hint="default" w:ascii="Times New Roman" w:hAnsi="Times New Roman" w:eastAsia="黑体"/>
          <w:b w:val="0"/>
          <w:sz w:val="32"/>
          <w:szCs w:val="32"/>
        </w:rPr>
      </w:pPr>
      <w:r>
        <w:rPr>
          <w:rFonts w:hint="default" w:ascii="Times New Roman" w:hAnsi="Times New Roman" w:eastAsia="黑体"/>
          <w:b w:val="0"/>
          <w:sz w:val="32"/>
          <w:szCs w:val="32"/>
        </w:rPr>
        <w:t>五、种子直投</w:t>
      </w:r>
      <w:r>
        <w:rPr>
          <w:rFonts w:ascii="Times New Roman" w:hAnsi="Times New Roman" w:eastAsia="黑体"/>
          <w:b w:val="0"/>
          <w:sz w:val="32"/>
          <w:szCs w:val="32"/>
        </w:rPr>
        <w:t>申报</w:t>
      </w:r>
    </w:p>
    <w:p w14:paraId="375F00E9"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（一）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申报开放时间：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实行常态化申报和受理。</w:t>
      </w:r>
    </w:p>
    <w:p w14:paraId="225759E1"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二</w:t>
      </w: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申报</w:t>
      </w: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方式：</w:t>
      </w:r>
      <w:r>
        <w:rPr>
          <w:rFonts w:ascii="Times New Roman" w:hAnsi="Times New Roman" w:eastAsia="仿宋_GB2312" w:cs="Times New Roman"/>
          <w:sz w:val="32"/>
          <w:szCs w:val="32"/>
        </w:rPr>
        <w:t>申报人按要求在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浙里办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注册法人（个人）账号，再登录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“宁波科技大脑”（https://stbrain.kjj.ningbo.gov.cn/tstz/）点击“在线办理”进行在线申报（申报材料详见附件）。</w:t>
      </w:r>
    </w:p>
    <w:p w14:paraId="6F4A3F82"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</w:rPr>
        <w:t>三</w:t>
      </w: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）形式审查。</w:t>
      </w:r>
      <w:r>
        <w:rPr>
          <w:rFonts w:ascii="Times New Roman" w:hAnsi="Times New Roman" w:eastAsia="仿宋_GB2312" w:cs="Times New Roman"/>
          <w:sz w:val="32"/>
          <w:szCs w:val="32"/>
        </w:rPr>
        <w:t>对申报材料的完整性、有效性进行审核，对符合申报通知要求的项目进入评审程序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，经形式审查后，材料需要补齐补正的，需在接到通知后一周内完成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E97B4A-CC91-4F33-9FB2-CEB4262D44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0AABA9C-0758-4B4C-A7EA-E1DF50942A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369A6D-FCB1-4F65-885D-C68FF7F141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D60238-CA3A-489A-9D24-A5369EEFD1D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8DF2E">
    <w:pPr>
      <w:spacing w:before="1" w:line="174" w:lineRule="auto"/>
      <w:rPr>
        <w:rFonts w:ascii="仿宋" w:hAnsi="仿宋" w:eastAsia="仿宋" w:cs="仿宋"/>
        <w:sz w:val="31"/>
        <w:szCs w:val="3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C7FB2"/>
    <w:multiLevelType w:val="singleLevel"/>
    <w:tmpl w:val="2B7C7FB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abstractNum w:abstractNumId="1">
    <w:nsid w:val="63F52923"/>
    <w:multiLevelType w:val="singleLevel"/>
    <w:tmpl w:val="63F5292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ODNmMWJlM2EyY2RlZWY3YzY1ZTJmYjkxNGNjNzAifQ=="/>
    <w:docVar w:name="KSO_WPS_MARK_KEY" w:val="017df00b-9903-4036-9d53-77f0c6501b21"/>
  </w:docVars>
  <w:rsids>
    <w:rsidRoot w:val="55945061"/>
    <w:rsid w:val="00032C23"/>
    <w:rsid w:val="0045277A"/>
    <w:rsid w:val="00626D86"/>
    <w:rsid w:val="0262508C"/>
    <w:rsid w:val="03B95FEF"/>
    <w:rsid w:val="03ED083E"/>
    <w:rsid w:val="05CF7D50"/>
    <w:rsid w:val="08DA2C94"/>
    <w:rsid w:val="0C5114BF"/>
    <w:rsid w:val="0DDF29B0"/>
    <w:rsid w:val="0E2D3872"/>
    <w:rsid w:val="0E6F3E7F"/>
    <w:rsid w:val="0E991F00"/>
    <w:rsid w:val="0FE66ACB"/>
    <w:rsid w:val="12005E88"/>
    <w:rsid w:val="12244F80"/>
    <w:rsid w:val="12DA3FF8"/>
    <w:rsid w:val="14EE6C9B"/>
    <w:rsid w:val="168A4933"/>
    <w:rsid w:val="16AA6C2C"/>
    <w:rsid w:val="173C0FBE"/>
    <w:rsid w:val="17B27317"/>
    <w:rsid w:val="18610CDC"/>
    <w:rsid w:val="197C3F75"/>
    <w:rsid w:val="19AD1037"/>
    <w:rsid w:val="1C7313F9"/>
    <w:rsid w:val="1CE70480"/>
    <w:rsid w:val="1D1B6E43"/>
    <w:rsid w:val="1DA91839"/>
    <w:rsid w:val="1EC0322C"/>
    <w:rsid w:val="1EE066D3"/>
    <w:rsid w:val="22031056"/>
    <w:rsid w:val="221943D6"/>
    <w:rsid w:val="2222785B"/>
    <w:rsid w:val="2235561C"/>
    <w:rsid w:val="232F593A"/>
    <w:rsid w:val="23563407"/>
    <w:rsid w:val="24213A15"/>
    <w:rsid w:val="27975169"/>
    <w:rsid w:val="28BC5D04"/>
    <w:rsid w:val="28F95045"/>
    <w:rsid w:val="297E6BDB"/>
    <w:rsid w:val="2AB967EE"/>
    <w:rsid w:val="2BD355F5"/>
    <w:rsid w:val="2DEF06E0"/>
    <w:rsid w:val="302E54F0"/>
    <w:rsid w:val="336A2CE3"/>
    <w:rsid w:val="33A95613"/>
    <w:rsid w:val="34EF1648"/>
    <w:rsid w:val="35376339"/>
    <w:rsid w:val="35472BB0"/>
    <w:rsid w:val="364E2882"/>
    <w:rsid w:val="372D458C"/>
    <w:rsid w:val="3A257964"/>
    <w:rsid w:val="3A3000B7"/>
    <w:rsid w:val="3A881CA1"/>
    <w:rsid w:val="3B117EE8"/>
    <w:rsid w:val="3F397B09"/>
    <w:rsid w:val="41766CF7"/>
    <w:rsid w:val="41BF7A23"/>
    <w:rsid w:val="433647F0"/>
    <w:rsid w:val="433F122D"/>
    <w:rsid w:val="44B76465"/>
    <w:rsid w:val="45905EAD"/>
    <w:rsid w:val="45B41DBF"/>
    <w:rsid w:val="467557CF"/>
    <w:rsid w:val="46CE7E46"/>
    <w:rsid w:val="46F13D25"/>
    <w:rsid w:val="4A0B218E"/>
    <w:rsid w:val="4E4F79DD"/>
    <w:rsid w:val="4FB52207"/>
    <w:rsid w:val="501740DB"/>
    <w:rsid w:val="52752591"/>
    <w:rsid w:val="53AE2320"/>
    <w:rsid w:val="54A43723"/>
    <w:rsid w:val="54B14267"/>
    <w:rsid w:val="55945061"/>
    <w:rsid w:val="5770217F"/>
    <w:rsid w:val="57925A39"/>
    <w:rsid w:val="58904143"/>
    <w:rsid w:val="5900361E"/>
    <w:rsid w:val="5A3410A5"/>
    <w:rsid w:val="5C3D28CA"/>
    <w:rsid w:val="5D4B5084"/>
    <w:rsid w:val="5FCF07AD"/>
    <w:rsid w:val="605605E4"/>
    <w:rsid w:val="61AD400B"/>
    <w:rsid w:val="621C2B4B"/>
    <w:rsid w:val="62D63F13"/>
    <w:rsid w:val="62E8134B"/>
    <w:rsid w:val="6492134F"/>
    <w:rsid w:val="6820419D"/>
    <w:rsid w:val="687C68DE"/>
    <w:rsid w:val="69085040"/>
    <w:rsid w:val="695B1F82"/>
    <w:rsid w:val="699102C2"/>
    <w:rsid w:val="6A235589"/>
    <w:rsid w:val="6A333127"/>
    <w:rsid w:val="6A95793E"/>
    <w:rsid w:val="6C7F2DA4"/>
    <w:rsid w:val="6E2753A4"/>
    <w:rsid w:val="6E42761B"/>
    <w:rsid w:val="6F010F53"/>
    <w:rsid w:val="6F367817"/>
    <w:rsid w:val="749D503F"/>
    <w:rsid w:val="74AE507D"/>
    <w:rsid w:val="77143E3E"/>
    <w:rsid w:val="776A5656"/>
    <w:rsid w:val="77844FC2"/>
    <w:rsid w:val="79311E95"/>
    <w:rsid w:val="798236AB"/>
    <w:rsid w:val="79A951B4"/>
    <w:rsid w:val="79D33474"/>
    <w:rsid w:val="7AB364C5"/>
    <w:rsid w:val="7C336FB7"/>
    <w:rsid w:val="7C9E08D4"/>
    <w:rsid w:val="7CDC4260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2171</Words>
  <Characters>2265</Characters>
  <Lines>16</Lines>
  <Paragraphs>4</Paragraphs>
  <TotalTime>10</TotalTime>
  <ScaleCrop>false</ScaleCrop>
  <LinksUpToDate>false</LinksUpToDate>
  <CharactersWithSpaces>2272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2024-02-08T04:25:00Z</dcterms:created>
  <dc:creator>SZR</dc:creator>
  <cp:lastModifiedBy>银花</cp:lastModifiedBy>
  <cp:lastPrinted>2024-03-20T09:11:00Z</cp:lastPrinted>
  <dcterms:modified xsi:type="dcterms:W3CDTF">2026-03-20T09:28:12Z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E05B738CD8E946D4A5468E75E26FE067_13</vt:lpwstr>
  </property>
  <property fmtid="{D5CDD505-2E9C-101B-9397-08002B2CF9AE}" pid="4" name="KSOTemplateDocerSaveRecord">
    <vt:lpwstr>eyJoZGlkIjoiNjcxM2EwMDEyMTc2YjEyNjUwZjUwYmE5NWM5NmYyOWUiLCJ1c2VySWQiOiIzMzg3MjU5MDMifQ==</vt:lpwstr>
  </property>
</Properties>
</file>