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附件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</w:rPr>
        <w:t>：</w:t>
      </w:r>
    </w:p>
    <w:p>
      <w:pPr>
        <w:spacing w:line="500" w:lineRule="exact"/>
        <w:ind w:firstLine="482" w:firstLineChars="15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课程内容</w:t>
      </w:r>
    </w:p>
    <w:p>
      <w:pPr>
        <w:spacing w:line="0" w:lineRule="atLeast"/>
        <w:rPr>
          <w:rFonts w:hint="eastAsia" w:ascii="仿宋" w:hAnsi="仿宋" w:eastAsia="仿宋" w:cs="仿宋"/>
          <w:b/>
          <w:sz w:val="32"/>
        </w:rPr>
      </w:pPr>
    </w:p>
    <w:p>
      <w:pPr>
        <w:spacing w:line="48" w:lineRule="exac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一、企业宏观篇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1.常青树式的企业家到底在想什么和做什么；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2.企业如何快速重塑企业核心竞争系统优势；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3.企业如何解决家族化管理问题，聘请优秀人才经营企业；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4．如何规避企业快速发展中的4种死穴危机而造成的沉重损失。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二、企业战略篇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1.如何科学的理解战略与战略梳理流程；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2．如何设计企业的核心杀手锏做到不战而胜；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3.如何设计企业运营流程，有效的对战略目标进行管控。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三、组织再造篇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1.如何筛选与战略发展配套的核心团队与选拔标准；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2.如何复制”又红又专“的部门负责人； 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3.如何规划企业发展中的核心团队与外聘经理人的比例参数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四、运营管控篇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1.如何建立法制化的运营管控系统；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2.企业运营管控4T设计理论与工具表格；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3.如何通过文化打造企业的“结果廉政公署”；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4.如何设计老板在与不在企业团队都自动化运转。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五、薪酬系统与激励篇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1.如何让公司更多的核心人关注企业战略达成状况；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2.如何让公司更多人分担战略目标，实现公大自小主观；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3.如何激发所有人的责任心，主动执行战略需求结果。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500A4"/>
    <w:rsid w:val="677500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2018-09-06T07:36:00Z</dcterms:created>
  <dc:creator>秘书处</dc:creator>
  <cp:lastModifiedBy>秘书处</cp:lastModifiedBy>
  <dcterms:modified xsi:type="dcterms:W3CDTF">2018-09-06T07:36:33Z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